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Planurile de amenajare a spaţiului</w:t>
            </w: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Temeiul juridic</w:t>
            </w:r>
          </w:p>
          <w:p w:rsidR="007D1D97" w:rsidRPr="002D0959" w:rsidRDefault="00131DF2" w:rsidP="007D1D97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În baza articolului 34 </w:t>
            </w:r>
            <w:r>
              <w:rPr>
                <w:rFonts w:ascii="Verdana" w:hAnsi="Verdana"/>
                <w:sz w:val="20"/>
                <w:szCs w:val="20"/>
              </w:rPr>
              <w:t>din Hotărârea Adunării Provinciei privind administrația provincială (Buletinul oficial al P.A.V.", numărul 37/14, 54/14 ‒ altă reglementare, 37/16, 29/17 şi 24/19), articolului 46 alineatul 4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din Legea pri</w:t>
            </w:r>
            <w:r w:rsidR="009A770A">
              <w:rPr>
                <w:rFonts w:ascii="Verdana" w:hAnsi="Verdana"/>
                <w:color w:val="333333"/>
                <w:sz w:val="20"/>
                <w:szCs w:val="20"/>
              </w:rPr>
              <w:t>vind planificarea și construcţiile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(„Monitorul oficial al RS”, nr. 72/09, 81/09 - rectificare, 64/10-hotărârea CC, 24/11, 121/12, 42/13-hotărârea CC, 50/13- hotărârea CC, 98/13 - hotărârea CC, 132/14, 145/14, 83/18, 31/19 și 37/19) și art. 42, alin. 1, punctul 11) din Legea privind stabilirea competenței Provinciei Autonome Voivodina („Monitorul oficial al RS, nr. 99/09, 67/2012 - hotărârea CC I 18/20 - altă lege), Secretariatul Provincial pentru Cultură, Informare Publică și Relațiile cu Comunitățile Confesionale av</w:t>
            </w:r>
            <w:r w:rsidR="0019687F">
              <w:rPr>
                <w:rFonts w:ascii="Verdana" w:hAnsi="Verdana"/>
                <w:color w:val="333333"/>
                <w:sz w:val="20"/>
                <w:szCs w:val="20"/>
              </w:rPr>
              <w:t>izează proiectul și documentația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 xml:space="preserve"> pentru întreprinderea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măsurilor tehnice de protecție și a altor lucrări asupra bunurilor culturale imobile atunci când proiectul și documentația sunt întocmite de Institutul pentru Protecția Monumentelor Culturale din te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>ritoriul P.A. Voivodina, în timp ce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în baza punctului 12) al aceluiași articol, Secretariatul Provincial pentru Cultură, Informare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Publică și Relațiile cu Comunitățile Confesionale dă aviz 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 xml:space="preserve">consultativ asupra schiţelor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planurilor de amenajare 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 xml:space="preserve">a spaţiului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și urbanistice pentru teritoriul P.A. Voivodina ș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>i informează organul competent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dacă plan</w:t>
            </w:r>
            <w:r w:rsidR="00373809">
              <w:rPr>
                <w:rFonts w:ascii="Verdana" w:hAnsi="Verdana"/>
                <w:color w:val="333333"/>
                <w:sz w:val="20"/>
                <w:szCs w:val="20"/>
              </w:rPr>
              <w:t>ul nu are conținutul prescris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</w:p>
          <w:p w:rsidR="00131DF2" w:rsidRPr="00131DF2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000060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color w:val="000060"/>
                <w:sz w:val="20"/>
                <w:szCs w:val="20"/>
              </w:rPr>
              <w:t xml:space="preserve">  </w:t>
            </w:r>
          </w:p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Unde şi cum</w:t>
            </w:r>
          </w:p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Documentația este întocmită de institutele pentru protecția monumentelor culturale din teritoriul P.A. Voivodina: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0D7AD1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hAnsi="Times New Roman"/>
                <w:color w:val="000060"/>
                <w:sz w:val="20"/>
                <w:szCs w:val="20"/>
              </w:rPr>
              <w:t xml:space="preserve">  </w:t>
            </w:r>
            <w:r>
              <w:rPr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sz w:val="20"/>
                <w:szCs w:val="20"/>
              </w:rPr>
              <w:t xml:space="preserve"> Institutul Provincial pentru Protecţia Monumentelor Culturale </w:t>
            </w:r>
            <w:r>
              <w:rPr>
                <w:rFonts w:ascii="Verdana" w:hAnsi="Verdana"/>
                <w:sz w:val="20"/>
                <w:szCs w:val="20"/>
              </w:rPr>
              <w:br/>
              <w:t>          Štrosmajerova 22, 21131 Petrovaradin</w:t>
            </w:r>
            <w:r>
              <w:rPr>
                <w:rFonts w:ascii="Verdana" w:hAnsi="Verdana"/>
                <w:sz w:val="20"/>
                <w:szCs w:val="20"/>
              </w:rPr>
              <w:br/>
              <w:t>          tel.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021/431 – 211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0D7AD1">
              <w:t xml:space="preserve">              </w:t>
            </w:r>
            <w:hyperlink r:id="rId4" w:tgtFrame="_blank" w:history="1">
              <w:r w:rsidR="000D7AD1" w:rsidRPr="007E5C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RS"/>
                </w:rPr>
                <w:t>http://www.pzzzsk.rs/</w:t>
              </w:r>
            </w:hyperlink>
          </w:p>
          <w:p w:rsidR="00625B91" w:rsidRDefault="00131DF2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Institutul Intercomunal pentru Protecţia Monumentelor Culturale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Trg slobode</w:t>
            </w:r>
            <w:r w:rsidR="00625B91">
              <w:rPr>
                <w:rFonts w:ascii="Verdana" w:hAnsi="Verdana"/>
                <w:color w:val="333333"/>
                <w:sz w:val="20"/>
                <w:szCs w:val="20"/>
              </w:rPr>
              <w:t>   1/, 24000 Subotica</w:t>
            </w:r>
            <w:r w:rsidR="00625B91"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       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tel. 024/557 - 606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625B91" w:rsidRPr="00625B9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r-HR" w:eastAsia="sr-Latn-RS"/>
              </w:rPr>
              <w:t xml:space="preserve">        </w:t>
            </w:r>
            <w:hyperlink r:id="rId5" w:tgtFrame="_blank" w:history="1">
              <w:r w:rsidR="00625B91" w:rsidRPr="00BA582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https://www.heritage-su.org.rs/</w:t>
              </w:r>
            </w:hyperlink>
          </w:p>
          <w:p w:rsidR="00625B91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Institutul pentru Protecţia Monumentelor Culturale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Trg Svetog Dimitrija 10, 22000 Sremska Mitrovica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 tel. 022/612 – 708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625B91">
              <w:t xml:space="preserve">             </w:t>
            </w:r>
            <w:hyperlink r:id="rId6" w:tgtFrame="_blank" w:history="1">
              <w:r w:rsidR="00625B91" w:rsidRPr="00FF1F0A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https://zavodsm.rs/</w:t>
              </w:r>
            </w:hyperlink>
          </w:p>
          <w:p w:rsidR="00E83072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Institutul pentru Protecţia Monumentelor Culturale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Žarka Zrenjanina 17/1, 26000 Panciova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 tel. 013/351 – 472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E83072">
              <w:t xml:space="preserve">             </w:t>
            </w:r>
            <w:hyperlink r:id="rId7" w:tgtFrame="_blank" w:history="1">
              <w:r w:rsidR="00E83072"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https://www.zzskpancevo.org/</w:t>
              </w:r>
            </w:hyperlink>
          </w:p>
          <w:p w:rsidR="0081180C" w:rsidRPr="001B0792" w:rsidRDefault="00131DF2" w:rsidP="0081180C">
            <w:pPr>
              <w:spacing w:after="0" w:line="240" w:lineRule="auto"/>
              <w:ind w:left="1422" w:hanging="360"/>
              <w:rPr>
                <w:rStyle w:val="Hyperlink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Institutul pentru Protecţia Monumentelor Culturale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Pupinova 14, 23000 Zrenianin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 tel. 023/564 -366, 062/1150-217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81180C">
              <w:t xml:space="preserve">              </w:t>
            </w:r>
            <w:r w:rsidR="0081180C">
              <w:fldChar w:fldCharType="begin"/>
            </w:r>
            <w:r w:rsidR="0081180C">
              <w:instrText xml:space="preserve"> HYPERLINK "https://www.zrenjaninheritage.com/" \t "_blank" </w:instrText>
            </w:r>
            <w:r w:rsidR="0081180C">
              <w:fldChar w:fldCharType="separate"/>
            </w:r>
            <w:r w:rsidR="0081180C" w:rsidRPr="001B0792">
              <w:rPr>
                <w:rStyle w:val="Hyperlink"/>
              </w:rPr>
              <w:t>https://www.zrenjaninheritage.com/</w:t>
            </w:r>
          </w:p>
          <w:p w:rsidR="00131DF2" w:rsidRPr="00131DF2" w:rsidRDefault="0081180C" w:rsidP="0081180C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t xml:space="preserve">   </w:t>
            </w:r>
            <w:r w:rsidR="00131DF2"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t xml:space="preserve"> Institutul pentru Protecţia Monumentelor Culturale 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Bulevar Mihajla Pupina 22/ 1 Novi Sad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  <w:t>          tel. 021/557 -061, -060-217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t xml:space="preserve">      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"http://www.zzskgns.rs/" \t "_blank" </w:instrText>
            </w:r>
            <w:r>
              <w:fldChar w:fldCharType="separate"/>
            </w:r>
            <w:r w:rsidRPr="00733829"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http://www.zzskgns.rs/</w:t>
            </w:r>
            <w:r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fldChar w:fldCharType="end"/>
            </w: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bottom w:val="nil"/>
            </w:tcBorders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F2" w:rsidRPr="00131DF2" w:rsidRDefault="00131DF2" w:rsidP="00010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Termenul de emitere a deciziei este de 30 de zile de la data primirii la Secretariatul Provincial pentru Cultură, Informare Publică și Relațiile cu Comunitățile Confesionale. </w:t>
            </w:r>
            <w:r w:rsidR="000101F2">
              <w:rPr>
                <w:rFonts w:ascii="Verdana" w:hAnsi="Verdana"/>
                <w:sz w:val="20"/>
                <w:szCs w:val="20"/>
              </w:rPr>
              <w:t xml:space="preserve">Termenul mediu pentru  procedarea Secretariatului conform cererii este de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15 zile.</w:t>
            </w:r>
          </w:p>
        </w:tc>
      </w:tr>
    </w:tbl>
    <w:p w:rsidR="00A61E8B" w:rsidRDefault="00A61E8B" w:rsidP="00156C73"/>
    <w:sectPr w:rsidR="00A6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0101F2"/>
    <w:rsid w:val="000D7AD1"/>
    <w:rsid w:val="00131DF2"/>
    <w:rsid w:val="00156C73"/>
    <w:rsid w:val="0019687F"/>
    <w:rsid w:val="00222C67"/>
    <w:rsid w:val="00373809"/>
    <w:rsid w:val="00625B91"/>
    <w:rsid w:val="00652C38"/>
    <w:rsid w:val="007D1D97"/>
    <w:rsid w:val="0081180C"/>
    <w:rsid w:val="00835AAD"/>
    <w:rsid w:val="009A770A"/>
    <w:rsid w:val="00A61E8B"/>
    <w:rsid w:val="00C67416"/>
    <w:rsid w:val="00E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D382"/>
  <w15:docId w15:val="{B8B4616B-C966-4477-B99D-DC931A7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D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7D1D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zskpancev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odsm.rs/" TargetMode="External"/><Relationship Id="rId5" Type="http://schemas.openxmlformats.org/officeDocument/2006/relationships/hyperlink" Target="https://www.heritage-su.org.rs/" TargetMode="External"/><Relationship Id="rId4" Type="http://schemas.openxmlformats.org/officeDocument/2006/relationships/hyperlink" Target="http://www.pzzzsk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6</cp:revision>
  <dcterms:created xsi:type="dcterms:W3CDTF">2022-04-18T08:30:00Z</dcterms:created>
  <dcterms:modified xsi:type="dcterms:W3CDTF">2023-01-23T13:59:00Z</dcterms:modified>
</cp:coreProperties>
</file>